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3DF5F">
      <w:pPr>
        <w:jc w:val="center"/>
        <w:rPr>
          <w:rFonts w:hint="eastAsia" w:ascii="黑体" w:hAnsi="黑体" w:eastAsia="黑体" w:cs="黑体"/>
          <w:sz w:val="36"/>
          <w:szCs w:val="44"/>
        </w:rPr>
      </w:pPr>
      <w:r>
        <w:rPr>
          <w:rFonts w:hint="eastAsia" w:ascii="黑体" w:hAnsi="黑体" w:eastAsia="黑体" w:cs="黑体"/>
          <w:sz w:val="36"/>
          <w:szCs w:val="44"/>
        </w:rPr>
        <w:t>江西省教育科学规划领导小组办公室关于征集 2026 年江西省教育科学规划重大项目选题指南的通知</w:t>
      </w:r>
    </w:p>
    <w:p w14:paraId="0E8138E6">
      <w:pPr>
        <w:rPr>
          <w:rFonts w:hint="eastAsia"/>
        </w:rPr>
      </w:pPr>
    </w:p>
    <w:p w14:paraId="44D0224F">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textAlignment w:val="baseline"/>
        <w:rPr>
          <w:rFonts w:hint="eastAsia"/>
        </w:rPr>
      </w:pPr>
      <w:r>
        <w:rPr>
          <w:rFonts w:hint="eastAsia" w:ascii="仿宋_GB2312" w:hAnsi="仿宋_GB2312" w:eastAsia="仿宋_GB2312" w:cs="仿宋_GB2312"/>
          <w:sz w:val="28"/>
          <w:szCs w:val="28"/>
        </w:rPr>
        <w:t>各</w:t>
      </w:r>
      <w:r>
        <w:rPr>
          <w:rFonts w:hint="eastAsia" w:ascii="仿宋_GB2312" w:hAnsi="仿宋_GB2312" w:eastAsia="仿宋_GB2312" w:cs="仿宋_GB2312"/>
          <w:sz w:val="28"/>
          <w:szCs w:val="28"/>
          <w:lang w:eastAsia="zh-CN"/>
        </w:rPr>
        <w:t>有关单位</w:t>
      </w:r>
      <w:r>
        <w:rPr>
          <w:rFonts w:hint="eastAsia" w:ascii="仿宋_GB2312" w:hAnsi="仿宋_GB2312" w:eastAsia="仿宋_GB2312" w:cs="仿宋_GB2312"/>
          <w:spacing w:val="-10"/>
          <w:sz w:val="28"/>
          <w:szCs w:val="28"/>
        </w:rPr>
        <w:t>：</w:t>
      </w:r>
    </w:p>
    <w:p w14:paraId="7FC6B23B">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为做好 2026 年江西省教育科学规划重大项目（以下简称 “教科规划重大项目”）申报立项工作，提高项目研究的科学性和针对性，根据工作安排，现面向各有关高校征集 2026 年教育科学规划重大项目选题指南，有关事项通知如下。</w:t>
      </w:r>
    </w:p>
    <w:p w14:paraId="46FEDAEF">
      <w:pPr>
        <w:ind w:firstLine="420" w:firstLineChars="0"/>
        <w:rPr>
          <w:rFonts w:hint="eastAsia"/>
        </w:rPr>
      </w:pPr>
      <w:r>
        <w:rPr>
          <w:rFonts w:hint="eastAsia" w:ascii="仿宋_GB2312" w:hAnsi="仿宋_GB2312" w:eastAsia="仿宋_GB2312" w:cs="仿宋_GB2312"/>
          <w:b/>
          <w:bCs/>
          <w:spacing w:val="-4"/>
          <w:sz w:val="28"/>
          <w:szCs w:val="28"/>
        </w:rPr>
        <w:t>一、指导思想</w:t>
      </w:r>
    </w:p>
    <w:p w14:paraId="71AE21FE">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坚持以习近平新时代中国特色社会主义思想为指导，全面贯彻党的二十大和二十届历次全会精神，贯彻落实习近平总书记关于教育的重要论述以及关于推动哲学社会科学高质量发展的重要指示精神，聚焦国家战略目标和我省重大需求，立足我省高校中青年教师成长发展实际，紧扣高校科研 “双百” 项目建设部署，强化科研项目任务驱动，引导高校科研人员潜心研究、勇于创新、服务发展，培育一批具有创新能力和发展潜力的中青年社科人才，产出一批原创性、高质量的标志性成果，为江西哲学社会科学创新发展提供坚实的人才支撑和智力支持。</w:t>
      </w:r>
    </w:p>
    <w:p w14:paraId="5C42ADFE">
      <w:pPr>
        <w:rPr>
          <w:rFonts w:hint="eastAsia"/>
        </w:rPr>
      </w:pPr>
    </w:p>
    <w:p w14:paraId="4C9AC333">
      <w:pPr>
        <w:ind w:firstLine="420" w:firstLineChars="0"/>
        <w:rPr>
          <w:rFonts w:hint="eastAsia"/>
        </w:rPr>
      </w:pPr>
      <w:r>
        <w:rPr>
          <w:rFonts w:hint="eastAsia" w:ascii="仿宋_GB2312" w:hAnsi="仿宋_GB2312" w:eastAsia="仿宋_GB2312" w:cs="仿宋_GB2312"/>
          <w:b/>
          <w:bCs/>
          <w:spacing w:val="-4"/>
          <w:sz w:val="28"/>
          <w:szCs w:val="28"/>
        </w:rPr>
        <w:t>二、重点研究领域</w:t>
      </w:r>
    </w:p>
    <w:p w14:paraId="4B0F092E">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教科规划重大项目围绕深入推进习近平新时代中国特色社会主义思想体系化学理化研究、习近平总书记关于教育的重要论述研究、教育强国和教育强省建设研究、中国式现代化的江西实践、新时代井冈山精神和苏区精神传承创新、“三个百年”（南昌起义 100 周年、秋收起义 100 周年、井冈山革命根据地创建 100 周年）主题研究、赣鄱优秀传统文化创造性转化与创新性发展、哲学社会科学普及和国际传播、数智时代国家治理体系和治理能力现代化、人工智能赋能教育教学变革、新兴交叉学科领域哲学社会科学前沿问题等 11 个领域开展研究。</w:t>
      </w:r>
    </w:p>
    <w:p w14:paraId="76D4F40A">
      <w:pPr>
        <w:ind w:firstLine="420" w:firstLineChars="0"/>
        <w:rPr>
          <w:rFonts w:hint="eastAsia" w:ascii="仿宋_GB2312" w:hAnsi="仿宋_GB2312" w:eastAsia="仿宋_GB2312" w:cs="仿宋_GB2312"/>
          <w:b/>
          <w:bCs/>
          <w:spacing w:val="-4"/>
          <w:sz w:val="28"/>
          <w:szCs w:val="28"/>
        </w:rPr>
      </w:pPr>
    </w:p>
    <w:p w14:paraId="5BFDD0D8">
      <w:pPr>
        <w:ind w:firstLine="420" w:firstLineChars="0"/>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三、征集对象</w:t>
      </w:r>
    </w:p>
    <w:p w14:paraId="769E71A8">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面向全省公办本科高校征集选题指南。</w:t>
      </w:r>
    </w:p>
    <w:p w14:paraId="4584291F">
      <w:pPr>
        <w:rPr>
          <w:rFonts w:hint="eastAsia"/>
        </w:rPr>
      </w:pPr>
    </w:p>
    <w:p w14:paraId="7CDEC354">
      <w:pPr>
        <w:ind w:firstLine="420" w:firstLineChars="0"/>
        <w:rPr>
          <w:rFonts w:hint="eastAsia"/>
        </w:rPr>
      </w:pPr>
      <w:r>
        <w:rPr>
          <w:rFonts w:hint="eastAsia" w:ascii="仿宋_GB2312" w:hAnsi="仿宋_GB2312" w:eastAsia="仿宋_GB2312" w:cs="仿宋_GB2312"/>
          <w:b/>
          <w:bCs/>
          <w:spacing w:val="-4"/>
          <w:sz w:val="28"/>
          <w:szCs w:val="28"/>
        </w:rPr>
        <w:t>四、有关要求</w:t>
      </w:r>
    </w:p>
    <w:p w14:paraId="637CAEA5">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 各校要高度重视选题指南征集工作，选题应坚持正确的政治方向、价值取向、研究导向，要求聚焦重点研究领域，具有清晰的研究对象和研究目标，体现问题意识和创新价值。</w:t>
      </w:r>
    </w:p>
    <w:p w14:paraId="2984CE2B">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 各校要结合研究优势和特色，组织专家学者充分论证和凝炼，对每个建议选题的国内外研究现状、主攻方向以及需要解决的重大理论和现实问题作 500 字以内的文字说明。申博申硕高校应优先支持重点建设学科学位点。</w:t>
      </w:r>
    </w:p>
    <w:p w14:paraId="07191E64">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 选题指南文字表述应科学、严谨、规范、简洁，应避免与已立项的国家级或省部级重点项目重复。</w:t>
      </w:r>
    </w:p>
    <w:p w14:paraId="64BB98BB">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 根据选题征集情况，遴选部分选题列入项目指南。凡被正式列入指南的选题推荐人和推荐单位，应承诺同意对所拟选题进行公开发布、公平竞争，不存在知识产权争议。</w:t>
      </w:r>
    </w:p>
    <w:p w14:paraId="09922925">
      <w:pPr>
        <w:rPr>
          <w:rFonts w:hint="eastAsia"/>
        </w:rPr>
      </w:pPr>
    </w:p>
    <w:p w14:paraId="7CEB4087">
      <w:pPr>
        <w:ind w:firstLine="420" w:firstLineChars="0"/>
        <w:rPr>
          <w:rFonts w:hint="eastAsia"/>
        </w:rPr>
      </w:pPr>
      <w:r>
        <w:rPr>
          <w:rFonts w:hint="eastAsia" w:ascii="仿宋_GB2312" w:hAnsi="仿宋_GB2312" w:eastAsia="仿宋_GB2312" w:cs="仿宋_GB2312"/>
          <w:b/>
          <w:bCs/>
          <w:spacing w:val="-4"/>
          <w:sz w:val="28"/>
          <w:szCs w:val="28"/>
        </w:rPr>
        <w:t>五、材料报送</w:t>
      </w:r>
    </w:p>
    <w:p w14:paraId="0DD3C5C2">
      <w:pPr>
        <w:pStyle w:val="2"/>
        <w:keepNext w:val="0"/>
        <w:keepLines w:val="0"/>
        <w:pageBreakBefore w:val="0"/>
        <w:widowControl/>
        <w:kinsoku w:val="0"/>
        <w:wordWrap/>
        <w:overflowPunct/>
        <w:topLinePunct w:val="0"/>
        <w:autoSpaceDE w:val="0"/>
        <w:autoSpaceDN w:val="0"/>
        <w:bidi w:val="0"/>
        <w:adjustRightInd w:val="0"/>
        <w:snapToGrid w:val="0"/>
        <w:spacing w:before="104" w:line="360" w:lineRule="auto"/>
        <w:ind w:right="518" w:firstLine="420" w:firstLineChars="0"/>
        <w:textAlignment w:val="baseline"/>
        <w:rPr>
          <w:rFonts w:hint="eastAsia" w:ascii="仿宋_GB2312" w:hAnsi="仿宋_GB2312" w:eastAsia="仿宋_GB2312" w:cs="仿宋_GB2312"/>
          <w:sz w:val="28"/>
          <w:szCs w:val="28"/>
        </w:rPr>
      </w:pPr>
    </w:p>
    <w:p w14:paraId="0137C976">
      <w:pPr>
        <w:pStyle w:val="2"/>
        <w:keepNext w:val="0"/>
        <w:keepLines w:val="0"/>
        <w:pageBreakBefore w:val="0"/>
        <w:widowControl/>
        <w:kinsoku w:val="0"/>
        <w:wordWrap/>
        <w:overflowPunct/>
        <w:topLinePunct w:val="0"/>
        <w:autoSpaceDE w:val="0"/>
        <w:autoSpaceDN w:val="0"/>
        <w:bidi w:val="0"/>
        <w:adjustRightInd w:val="0"/>
        <w:snapToGrid w:val="0"/>
        <w:spacing w:before="244" w:line="360" w:lineRule="auto"/>
        <w:ind w:right="113" w:firstLine="614"/>
        <w:textAlignment w:val="baseline"/>
        <w:rPr>
          <w:rFonts w:hint="eastAsia" w:ascii="仿宋_GB2312" w:hAnsi="仿宋_GB2312" w:eastAsia="仿宋_GB2312" w:cs="仿宋_GB2312"/>
          <w:spacing w:val="6"/>
          <w:sz w:val="28"/>
          <w:szCs w:val="28"/>
          <w:lang w:eastAsia="zh-CN"/>
        </w:rPr>
      </w:pPr>
      <w:r>
        <w:rPr>
          <w:rFonts w:hint="eastAsia" w:ascii="仿宋_GB2312" w:hAnsi="仿宋_GB2312" w:eastAsia="仿宋_GB2312" w:cs="仿宋_GB2312"/>
          <w:b/>
          <w:bCs/>
          <w:spacing w:val="6"/>
          <w:sz w:val="28"/>
          <w:szCs w:val="28"/>
          <w:lang w:eastAsia="zh-CN"/>
        </w:rPr>
        <w:t>电子版材料：</w:t>
      </w:r>
      <w:r>
        <w:rPr>
          <w:rFonts w:hint="eastAsia" w:ascii="仿宋_GB2312" w:hAnsi="仿宋_GB2312" w:eastAsia="仿宋_GB2312" w:cs="仿宋_GB2312"/>
          <w:spacing w:val="6"/>
          <w:sz w:val="28"/>
          <w:szCs w:val="28"/>
        </w:rPr>
        <w:t>各选题推荐单位请于</w:t>
      </w:r>
      <w:r>
        <w:rPr>
          <w:rFonts w:hint="eastAsia" w:ascii="仿宋_GB2312" w:hAnsi="仿宋_GB2312" w:eastAsia="仿宋_GB2312" w:cs="仿宋_GB2312"/>
          <w:b/>
          <w:bCs/>
          <w:spacing w:val="6"/>
          <w:sz w:val="28"/>
          <w:szCs w:val="28"/>
          <w:lang w:val="en-US" w:eastAsia="zh-CN"/>
        </w:rPr>
        <w:t>9</w:t>
      </w:r>
      <w:r>
        <w:rPr>
          <w:rFonts w:hint="eastAsia" w:ascii="仿宋_GB2312" w:hAnsi="仿宋_GB2312" w:eastAsia="仿宋_GB2312" w:cs="仿宋_GB2312"/>
          <w:b/>
          <w:bCs/>
          <w:spacing w:val="6"/>
          <w:sz w:val="28"/>
          <w:szCs w:val="28"/>
        </w:rPr>
        <w:t>月</w:t>
      </w:r>
      <w:r>
        <w:rPr>
          <w:rFonts w:hint="eastAsia" w:ascii="仿宋_GB2312" w:hAnsi="仿宋_GB2312" w:eastAsia="仿宋_GB2312" w:cs="仿宋_GB2312"/>
          <w:b/>
          <w:bCs/>
          <w:spacing w:val="6"/>
          <w:sz w:val="28"/>
          <w:szCs w:val="28"/>
          <w:lang w:val="en-US" w:eastAsia="zh-CN"/>
        </w:rPr>
        <w:t>1</w:t>
      </w:r>
      <w:r>
        <w:rPr>
          <w:rFonts w:hint="eastAsia" w:ascii="仿宋_GB2312" w:hAnsi="仿宋_GB2312" w:eastAsia="仿宋_GB2312" w:cs="仿宋_GB2312"/>
          <w:b/>
          <w:bCs/>
          <w:spacing w:val="5"/>
          <w:sz w:val="28"/>
          <w:szCs w:val="28"/>
        </w:rPr>
        <w:t>日</w:t>
      </w:r>
      <w:r>
        <w:rPr>
          <w:rFonts w:hint="eastAsia" w:ascii="仿宋_GB2312" w:hAnsi="仿宋_GB2312" w:eastAsia="仿宋_GB2312" w:cs="仿宋_GB2312"/>
          <w:b/>
          <w:bCs/>
          <w:spacing w:val="5"/>
          <w:sz w:val="28"/>
          <w:szCs w:val="28"/>
          <w:lang w:eastAsia="zh-CN"/>
        </w:rPr>
        <w:t>下午</w:t>
      </w:r>
      <w:r>
        <w:rPr>
          <w:rFonts w:hint="eastAsia" w:ascii="仿宋_GB2312" w:hAnsi="仿宋_GB2312" w:eastAsia="仿宋_GB2312" w:cs="仿宋_GB2312"/>
          <w:b/>
          <w:bCs/>
          <w:spacing w:val="5"/>
          <w:sz w:val="28"/>
          <w:szCs w:val="28"/>
          <w:lang w:val="en-US" w:eastAsia="zh-CN"/>
        </w:rPr>
        <w:t>5点</w:t>
      </w:r>
      <w:r>
        <w:rPr>
          <w:rFonts w:hint="eastAsia" w:ascii="仿宋_GB2312" w:hAnsi="仿宋_GB2312" w:eastAsia="仿宋_GB2312" w:cs="仿宋_GB2312"/>
          <w:spacing w:val="5"/>
          <w:sz w:val="28"/>
          <w:szCs w:val="28"/>
        </w:rPr>
        <w:t>前汇总</w:t>
      </w:r>
      <w:r>
        <w:rPr>
          <w:rFonts w:hint="eastAsia" w:ascii="仿宋_GB2312" w:hAnsi="仿宋_GB2312" w:eastAsia="仿宋_GB2312" w:cs="仿宋_GB2312"/>
          <w:spacing w:val="5"/>
          <w:sz w:val="28"/>
          <w:szCs w:val="28"/>
          <w:lang w:eastAsia="zh-CN"/>
        </w:rPr>
        <w:t>选</w:t>
      </w:r>
      <w:r>
        <w:rPr>
          <w:rFonts w:hint="eastAsia" w:ascii="仿宋_GB2312" w:hAnsi="仿宋_GB2312" w:eastAsia="仿宋_GB2312" w:cs="仿宋_GB2312"/>
          <w:spacing w:val="6"/>
          <w:sz w:val="28"/>
          <w:szCs w:val="28"/>
          <w:lang w:eastAsia="zh-CN"/>
        </w:rPr>
        <w:t>题，</w:t>
      </w:r>
      <w:r>
        <w:rPr>
          <w:rFonts w:hint="eastAsia" w:ascii="仿宋_GB2312" w:hAnsi="仿宋_GB2312" w:eastAsia="仿宋_GB2312" w:cs="仿宋_GB2312"/>
          <w:spacing w:val="6"/>
          <w:sz w:val="28"/>
          <w:szCs w:val="28"/>
        </w:rPr>
        <w:t>将盖章版和可编辑版推荐选题汇总表直接</w:t>
      </w:r>
      <w:bookmarkStart w:id="0" w:name="_GoBack"/>
      <w:bookmarkEnd w:id="0"/>
      <w:r>
        <w:rPr>
          <w:rFonts w:hint="eastAsia" w:ascii="仿宋_GB2312" w:hAnsi="仿宋_GB2312" w:eastAsia="仿宋_GB2312" w:cs="仿宋_GB2312"/>
          <w:spacing w:val="6"/>
          <w:sz w:val="28"/>
          <w:szCs w:val="28"/>
        </w:rPr>
        <w:t>发送至</w:t>
      </w:r>
      <w:r>
        <w:rPr>
          <w:rFonts w:hint="eastAsia" w:ascii="仿宋_GB2312" w:hAnsi="仿宋_GB2312" w:eastAsia="仿宋_GB2312" w:cs="仿宋_GB2312"/>
          <w:spacing w:val="6"/>
          <w:sz w:val="28"/>
          <w:szCs w:val="28"/>
          <w:lang w:eastAsia="zh-CN"/>
        </w:rPr>
        <w:t>社科处罗曼微信。</w:t>
      </w:r>
    </w:p>
    <w:p w14:paraId="2CA374FC">
      <w:pPr>
        <w:pStyle w:val="2"/>
        <w:keepNext w:val="0"/>
        <w:keepLines w:val="0"/>
        <w:pageBreakBefore w:val="0"/>
        <w:widowControl/>
        <w:kinsoku w:val="0"/>
        <w:wordWrap/>
        <w:overflowPunct/>
        <w:topLinePunct w:val="0"/>
        <w:autoSpaceDE w:val="0"/>
        <w:autoSpaceDN w:val="0"/>
        <w:bidi w:val="0"/>
        <w:adjustRightInd w:val="0"/>
        <w:snapToGrid w:val="0"/>
        <w:spacing w:before="266" w:line="360" w:lineRule="auto"/>
        <w:ind w:right="160" w:firstLine="609"/>
        <w:textAlignment w:val="baseline"/>
        <w:rPr>
          <w:rFonts w:hint="eastAsia" w:ascii="仿宋_GB2312" w:hAnsi="仿宋_GB2312" w:eastAsia="仿宋_GB2312" w:cs="仿宋_GB2312"/>
          <w:spacing w:val="9"/>
          <w:sz w:val="28"/>
          <w:szCs w:val="28"/>
          <w:lang w:val="en-US" w:eastAsia="zh-CN"/>
        </w:rPr>
      </w:pPr>
      <w:r>
        <w:rPr>
          <w:rFonts w:hint="eastAsia" w:ascii="仿宋_GB2312" w:hAnsi="仿宋_GB2312" w:eastAsia="仿宋_GB2312" w:cs="仿宋_GB2312"/>
          <w:spacing w:val="9"/>
          <w:sz w:val="28"/>
          <w:szCs w:val="28"/>
        </w:rPr>
        <w:t>联系人：</w:t>
      </w:r>
      <w:r>
        <w:rPr>
          <w:rFonts w:hint="eastAsia" w:ascii="仿宋_GB2312" w:hAnsi="仿宋_GB2312" w:eastAsia="仿宋_GB2312" w:cs="仿宋_GB2312"/>
          <w:spacing w:val="9"/>
          <w:sz w:val="28"/>
          <w:szCs w:val="28"/>
          <w:lang w:eastAsia="zh-CN"/>
        </w:rPr>
        <w:t>罗曼</w:t>
      </w:r>
      <w:r>
        <w:rPr>
          <w:rFonts w:hint="eastAsia" w:ascii="仿宋_GB2312" w:hAnsi="仿宋_GB2312" w:eastAsia="仿宋_GB2312" w:cs="仿宋_GB2312"/>
          <w:spacing w:val="9"/>
          <w:sz w:val="28"/>
          <w:szCs w:val="28"/>
          <w:lang w:val="en-US" w:eastAsia="zh-CN"/>
        </w:rPr>
        <w:t xml:space="preserve"> 88122679</w:t>
      </w:r>
    </w:p>
    <w:p w14:paraId="6EE4D932">
      <w:pPr>
        <w:pStyle w:val="2"/>
        <w:keepNext w:val="0"/>
        <w:keepLines w:val="0"/>
        <w:pageBreakBefore w:val="0"/>
        <w:widowControl/>
        <w:kinsoku w:val="0"/>
        <w:wordWrap/>
        <w:overflowPunct/>
        <w:topLinePunct w:val="0"/>
        <w:autoSpaceDE w:val="0"/>
        <w:autoSpaceDN w:val="0"/>
        <w:bidi w:val="0"/>
        <w:adjustRightInd w:val="0"/>
        <w:snapToGrid w:val="0"/>
        <w:spacing w:before="266" w:line="360" w:lineRule="auto"/>
        <w:ind w:right="160" w:firstLine="609"/>
        <w:textAlignment w:val="baseline"/>
        <w:rPr>
          <w:rFonts w:hint="eastAsia" w:ascii="仿宋_GB2312" w:hAnsi="仿宋_GB2312" w:eastAsia="仿宋_GB2312" w:cs="仿宋_GB2312"/>
          <w:spacing w:val="9"/>
          <w:sz w:val="28"/>
          <w:szCs w:val="28"/>
          <w:lang w:val="en-US" w:eastAsia="zh-CN"/>
        </w:rPr>
      </w:pPr>
    </w:p>
    <w:p w14:paraId="73D06F40">
      <w:pPr>
        <w:pStyle w:val="2"/>
        <w:keepNext w:val="0"/>
        <w:keepLines w:val="0"/>
        <w:pageBreakBefore w:val="0"/>
        <w:widowControl/>
        <w:kinsoku w:val="0"/>
        <w:wordWrap/>
        <w:overflowPunct/>
        <w:topLinePunct w:val="0"/>
        <w:autoSpaceDE w:val="0"/>
        <w:autoSpaceDN w:val="0"/>
        <w:bidi w:val="0"/>
        <w:adjustRightInd w:val="0"/>
        <w:snapToGrid w:val="0"/>
        <w:spacing w:before="244" w:line="360" w:lineRule="auto"/>
        <w:ind w:right="113" w:firstLine="614"/>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附件：教科规划重大项目推荐选题汇总表</w:t>
      </w:r>
    </w:p>
    <w:p w14:paraId="2D8024E2">
      <w:pPr>
        <w:rPr>
          <w:rFonts w:hint="eastAsia"/>
        </w:rPr>
      </w:pPr>
    </w:p>
    <w:p w14:paraId="00D43891">
      <w:pPr>
        <w:pStyle w:val="2"/>
        <w:keepNext w:val="0"/>
        <w:keepLines w:val="0"/>
        <w:pageBreakBefore w:val="0"/>
        <w:widowControl/>
        <w:kinsoku w:val="0"/>
        <w:wordWrap/>
        <w:overflowPunct/>
        <w:topLinePunct w:val="0"/>
        <w:autoSpaceDE w:val="0"/>
        <w:autoSpaceDN w:val="0"/>
        <w:bidi w:val="0"/>
        <w:adjustRightInd w:val="0"/>
        <w:snapToGrid w:val="0"/>
        <w:spacing w:before="105" w:line="360" w:lineRule="auto"/>
        <w:ind w:left="609"/>
        <w:jc w:val="center"/>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社科处</w:t>
      </w:r>
    </w:p>
    <w:p w14:paraId="6044DCE0">
      <w:pPr>
        <w:pStyle w:val="2"/>
        <w:keepNext w:val="0"/>
        <w:keepLines w:val="0"/>
        <w:pageBreakBefore w:val="0"/>
        <w:widowControl/>
        <w:kinsoku w:val="0"/>
        <w:wordWrap/>
        <w:overflowPunct/>
        <w:topLinePunct w:val="0"/>
        <w:autoSpaceDE w:val="0"/>
        <w:autoSpaceDN w:val="0"/>
        <w:bidi w:val="0"/>
        <w:adjustRightInd w:val="0"/>
        <w:snapToGrid w:val="0"/>
        <w:spacing w:before="105" w:line="360" w:lineRule="auto"/>
        <w:ind w:left="609"/>
        <w:jc w:val="center"/>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31日</w:t>
      </w:r>
    </w:p>
    <w:p w14:paraId="401F1E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E54D0D"/>
    <w:rsid w:val="3DD4014F"/>
    <w:rsid w:val="66E54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2026-08-31T08:27:00Z</dcterms:created>
  <dc:creator>凸^-^凸</dc:creator>
  <cp:lastModifiedBy>凸^-^凸</cp:lastModifiedBy>
  <cp:lastPrinted>2026-08-31T08:36:54Z</cp:lastPrinted>
  <dcterms:modified xsi:type="dcterms:W3CDTF">2026-08-31T08:41:49Z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639C4E773FC34196A7861FE19F136672_11</vt:lpwstr>
  </property>
  <property fmtid="{D5CDD505-2E9C-101B-9397-08002B2CF9AE}" pid="4" name="KSOTemplateDocerSaveRecord">
    <vt:lpwstr>eyJoZGlkIjoiYTZhMDI4Y2MwYzMxNWQ2ZmFlOTYyNGQ3NDM5NWQ3ODMiLCJ1c2VySWQiOiI3MTI5NTU3OTkifQ==</vt:lpwstr>
  </property>
</Properties>
</file>